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4DF484" w14:textId="5EA9F022" w:rsidR="0011426E" w:rsidRPr="0011426E" w:rsidRDefault="0011426E" w:rsidP="0011426E">
      <w:pPr>
        <w:jc w:val="center"/>
        <w:rPr>
          <w:rFonts w:ascii="Calibri" w:eastAsia="Times New Roman" w:hAnsi="Calibri"/>
          <w:b/>
          <w:sz w:val="22"/>
          <w:szCs w:val="22"/>
        </w:rPr>
      </w:pPr>
      <w:bookmarkStart w:id="0" w:name="_GoBack"/>
      <w:bookmarkEnd w:id="0"/>
      <w:r w:rsidRPr="0011426E">
        <w:rPr>
          <w:rFonts w:ascii="Calibri" w:eastAsia="Times New Roman" w:hAnsi="Calibri"/>
          <w:b/>
          <w:sz w:val="22"/>
          <w:szCs w:val="22"/>
        </w:rPr>
        <w:t>Prévention du risque thromboembolique</w:t>
      </w:r>
      <w:r w:rsidR="00692129">
        <w:rPr>
          <w:rFonts w:ascii="Calibri" w:eastAsia="Times New Roman" w:hAnsi="Calibri"/>
          <w:b/>
          <w:sz w:val="22"/>
          <w:szCs w:val="22"/>
        </w:rPr>
        <w:t xml:space="preserve"> veineux </w:t>
      </w:r>
      <w:r w:rsidRPr="0011426E">
        <w:rPr>
          <w:rFonts w:ascii="Calibri" w:eastAsia="Times New Roman" w:hAnsi="Calibri"/>
          <w:b/>
          <w:sz w:val="22"/>
          <w:szCs w:val="22"/>
        </w:rPr>
        <w:t xml:space="preserve">chez les femmes COVID + </w:t>
      </w:r>
      <w:r w:rsidR="00D56F3C">
        <w:rPr>
          <w:rFonts w:ascii="Calibri" w:eastAsia="Times New Roman" w:hAnsi="Calibri"/>
          <w:b/>
          <w:sz w:val="22"/>
          <w:szCs w:val="22"/>
        </w:rPr>
        <w:t xml:space="preserve">non hospitalisées </w:t>
      </w:r>
      <w:r w:rsidRPr="0011426E">
        <w:rPr>
          <w:rFonts w:ascii="Calibri" w:eastAsia="Times New Roman" w:hAnsi="Calibri"/>
          <w:b/>
          <w:sz w:val="22"/>
          <w:szCs w:val="22"/>
        </w:rPr>
        <w:t>utilisant un traitement hormonal</w:t>
      </w:r>
      <w:r>
        <w:rPr>
          <w:rFonts w:ascii="Calibri" w:eastAsia="Times New Roman" w:hAnsi="Calibri"/>
          <w:b/>
          <w:sz w:val="22"/>
          <w:szCs w:val="22"/>
        </w:rPr>
        <w:t xml:space="preserve"> (Contraception, Traitement hormonal de ménopause, Tamoxifène)</w:t>
      </w:r>
    </w:p>
    <w:p w14:paraId="5AAA40B2" w14:textId="4DF054BE" w:rsidR="0011426E" w:rsidRPr="0011426E" w:rsidRDefault="00E5532D" w:rsidP="0011426E">
      <w:pPr>
        <w:jc w:val="center"/>
        <w:rPr>
          <w:rFonts w:ascii="Calibri" w:eastAsia="Times New Roman" w:hAnsi="Calibri"/>
          <w:b/>
          <w:sz w:val="22"/>
          <w:szCs w:val="22"/>
        </w:rPr>
      </w:pPr>
      <w:r>
        <w:rPr>
          <w:rFonts w:ascii="Calibri" w:eastAsia="Times New Roman" w:hAnsi="Calibri"/>
          <w:b/>
          <w:sz w:val="22"/>
          <w:szCs w:val="22"/>
        </w:rPr>
        <w:t>Proposition du CN</w:t>
      </w:r>
      <w:r w:rsidR="0011426E" w:rsidRPr="0011426E">
        <w:rPr>
          <w:rFonts w:ascii="Calibri" w:eastAsia="Times New Roman" w:hAnsi="Calibri"/>
          <w:b/>
          <w:sz w:val="22"/>
          <w:szCs w:val="22"/>
        </w:rPr>
        <w:t>E</w:t>
      </w:r>
      <w:r>
        <w:rPr>
          <w:rFonts w:ascii="Calibri" w:eastAsia="Times New Roman" w:hAnsi="Calibri"/>
          <w:b/>
          <w:sz w:val="22"/>
          <w:szCs w:val="22"/>
        </w:rPr>
        <w:t>G</w:t>
      </w:r>
      <w:r w:rsidR="0011426E" w:rsidRPr="0011426E">
        <w:rPr>
          <w:rFonts w:ascii="Calibri" w:eastAsia="Times New Roman" w:hAnsi="Calibri"/>
          <w:b/>
          <w:sz w:val="22"/>
          <w:szCs w:val="22"/>
        </w:rPr>
        <w:t>M</w:t>
      </w:r>
      <w:r>
        <w:rPr>
          <w:rStyle w:val="Appelnotedebasdep"/>
          <w:rFonts w:ascii="Calibri" w:eastAsia="Times New Roman" w:hAnsi="Calibri"/>
          <w:b/>
          <w:sz w:val="22"/>
          <w:szCs w:val="22"/>
        </w:rPr>
        <w:footnoteReference w:id="1"/>
      </w:r>
      <w:r w:rsidR="006F0A3A">
        <w:rPr>
          <w:rFonts w:ascii="Calibri" w:eastAsia="Times New Roman" w:hAnsi="Calibri"/>
          <w:b/>
          <w:sz w:val="22"/>
          <w:szCs w:val="22"/>
        </w:rPr>
        <w:t xml:space="preserve"> et de l’UF Hémostase clinique de Cochin</w:t>
      </w:r>
      <w:r w:rsidR="006F0A3A">
        <w:rPr>
          <w:rStyle w:val="Appelnotedebasdep"/>
          <w:rFonts w:ascii="Calibri" w:eastAsia="Times New Roman" w:hAnsi="Calibri"/>
          <w:b/>
          <w:sz w:val="22"/>
          <w:szCs w:val="22"/>
        </w:rPr>
        <w:footnoteReference w:id="2"/>
      </w:r>
    </w:p>
    <w:p w14:paraId="5080D736" w14:textId="77777777" w:rsidR="0011426E" w:rsidRDefault="0011426E" w:rsidP="0011426E">
      <w:pPr>
        <w:rPr>
          <w:rFonts w:ascii="Calibri" w:eastAsia="Times New Roman" w:hAnsi="Calibri"/>
          <w:color w:val="1F497D"/>
          <w:sz w:val="22"/>
          <w:szCs w:val="22"/>
        </w:rPr>
      </w:pPr>
    </w:p>
    <w:p w14:paraId="79CD17B1" w14:textId="77777777" w:rsidR="0011426E" w:rsidRDefault="0011426E" w:rsidP="0011426E">
      <w:pPr>
        <w:rPr>
          <w:rFonts w:ascii="Calibri" w:eastAsia="Times New Roman" w:hAnsi="Calibri"/>
          <w:color w:val="1F497D"/>
          <w:sz w:val="22"/>
          <w:szCs w:val="22"/>
        </w:rPr>
      </w:pPr>
    </w:p>
    <w:p w14:paraId="4C12E2C7" w14:textId="77777777" w:rsidR="0011426E" w:rsidRPr="006F0A3A" w:rsidRDefault="0011426E" w:rsidP="0011426E">
      <w:pPr>
        <w:rPr>
          <w:rFonts w:ascii="Calibri" w:eastAsia="Times New Roman" w:hAnsi="Calibri"/>
          <w:b/>
          <w:sz w:val="22"/>
          <w:szCs w:val="22"/>
        </w:rPr>
      </w:pPr>
      <w:r w:rsidRPr="006F0A3A">
        <w:rPr>
          <w:rFonts w:ascii="Calibri" w:eastAsia="Times New Roman" w:hAnsi="Calibri"/>
          <w:b/>
          <w:sz w:val="22"/>
          <w:szCs w:val="22"/>
        </w:rPr>
        <w:t>Contexte</w:t>
      </w:r>
    </w:p>
    <w:p w14:paraId="0B92C157" w14:textId="3987D92B" w:rsidR="0011426E" w:rsidRPr="00135591" w:rsidRDefault="0011426E" w:rsidP="006F0A3A">
      <w:pPr>
        <w:jc w:val="both"/>
        <w:rPr>
          <w:rFonts w:ascii="Calibri" w:eastAsia="Times New Roman" w:hAnsi="Calibri"/>
          <w:sz w:val="22"/>
          <w:szCs w:val="22"/>
        </w:rPr>
      </w:pPr>
      <w:r w:rsidRPr="00135591">
        <w:rPr>
          <w:rFonts w:ascii="Calibri" w:eastAsia="Times New Roman" w:hAnsi="Calibri"/>
          <w:sz w:val="22"/>
          <w:szCs w:val="22"/>
        </w:rPr>
        <w:t xml:space="preserve">Les publications et observations des patientes COVID+ montrent une augmentation du risque </w:t>
      </w:r>
      <w:r w:rsidR="006F0A3A">
        <w:rPr>
          <w:rFonts w:ascii="Calibri" w:eastAsia="Times New Roman" w:hAnsi="Calibri"/>
          <w:sz w:val="22"/>
          <w:szCs w:val="22"/>
        </w:rPr>
        <w:t>de maladie thromboembolique veineuse (MVTE)</w:t>
      </w:r>
      <w:r w:rsidRPr="00135591">
        <w:rPr>
          <w:rFonts w:ascii="Calibri" w:eastAsia="Times New Roman" w:hAnsi="Calibri"/>
          <w:sz w:val="22"/>
          <w:szCs w:val="22"/>
        </w:rPr>
        <w:t xml:space="preserve"> chez les patients hospitalisés. Plusieurs sociétés savantes ont émis des recommandations concernant l’utilisation d’un traitement anticoagulant pour la prévention du risque thromboembolique et notamment en </w:t>
      </w:r>
      <w:r w:rsidR="00A42819">
        <w:rPr>
          <w:rFonts w:ascii="Calibri" w:eastAsia="Times New Roman" w:hAnsi="Calibri"/>
          <w:sz w:val="22"/>
          <w:szCs w:val="22"/>
        </w:rPr>
        <w:t>France,</w:t>
      </w:r>
      <w:r w:rsidRPr="00135591">
        <w:rPr>
          <w:rFonts w:ascii="Calibri" w:eastAsia="Times New Roman" w:hAnsi="Calibri"/>
          <w:sz w:val="22"/>
          <w:szCs w:val="22"/>
        </w:rPr>
        <w:t xml:space="preserve"> le GIHP et GFHT. </w:t>
      </w:r>
    </w:p>
    <w:p w14:paraId="180FE04E" w14:textId="77777777" w:rsidR="0011426E" w:rsidRPr="00135591" w:rsidRDefault="0011426E" w:rsidP="0011426E">
      <w:pPr>
        <w:rPr>
          <w:rFonts w:ascii="Calibri" w:eastAsia="Times New Roman" w:hAnsi="Calibri"/>
          <w:sz w:val="22"/>
          <w:szCs w:val="22"/>
        </w:rPr>
      </w:pPr>
      <w:r w:rsidRPr="00135591">
        <w:rPr>
          <w:rFonts w:ascii="Calibri" w:eastAsia="Times New Roman" w:hAnsi="Calibri"/>
          <w:sz w:val="22"/>
          <w:szCs w:val="22"/>
        </w:rPr>
        <w:t xml:space="preserve"> </w:t>
      </w:r>
    </w:p>
    <w:p w14:paraId="341CBE91" w14:textId="5EB04B99" w:rsidR="0011426E" w:rsidRPr="00135591" w:rsidRDefault="0011426E" w:rsidP="0011426E">
      <w:pPr>
        <w:rPr>
          <w:rFonts w:ascii="Calibri" w:eastAsia="Times New Roman" w:hAnsi="Calibri"/>
          <w:sz w:val="22"/>
          <w:szCs w:val="22"/>
        </w:rPr>
      </w:pPr>
      <w:r w:rsidRPr="00135591">
        <w:rPr>
          <w:rFonts w:ascii="Calibri" w:eastAsia="Times New Roman" w:hAnsi="Calibri"/>
          <w:sz w:val="22"/>
          <w:szCs w:val="22"/>
        </w:rPr>
        <w:t>Les recommandations doivent être basées sur les objectifs tels que définis par le groupe français et adapté</w:t>
      </w:r>
      <w:r w:rsidR="006F0A3A">
        <w:rPr>
          <w:rFonts w:ascii="Calibri" w:eastAsia="Times New Roman" w:hAnsi="Calibri"/>
          <w:sz w:val="22"/>
          <w:szCs w:val="22"/>
        </w:rPr>
        <w:t>e</w:t>
      </w:r>
      <w:r w:rsidRPr="00135591">
        <w:rPr>
          <w:rFonts w:ascii="Calibri" w:eastAsia="Times New Roman" w:hAnsi="Calibri"/>
          <w:sz w:val="22"/>
          <w:szCs w:val="22"/>
        </w:rPr>
        <w:t>s dans le contexte des femmes non hospitalisées</w:t>
      </w:r>
      <w:r w:rsidR="00A42819">
        <w:rPr>
          <w:rFonts w:ascii="Calibri" w:eastAsia="Times New Roman" w:hAnsi="Calibri"/>
          <w:sz w:val="22"/>
          <w:szCs w:val="22"/>
        </w:rPr>
        <w:t> :</w:t>
      </w:r>
    </w:p>
    <w:p w14:paraId="7DE9E6D6" w14:textId="63A136B1" w:rsidR="0011426E" w:rsidRPr="00A42819" w:rsidRDefault="0011426E" w:rsidP="0011426E">
      <w:pPr>
        <w:pStyle w:val="Paragraphedeliste"/>
        <w:numPr>
          <w:ilvl w:val="0"/>
          <w:numId w:val="1"/>
        </w:numPr>
        <w:rPr>
          <w:rFonts w:ascii="Calibri" w:eastAsia="Times New Roman" w:hAnsi="Calibri"/>
          <w:sz w:val="22"/>
          <w:szCs w:val="22"/>
        </w:rPr>
      </w:pPr>
      <w:r w:rsidRPr="00A42819">
        <w:rPr>
          <w:rFonts w:ascii="Calibri" w:eastAsia="Times New Roman" w:hAnsi="Calibri"/>
          <w:sz w:val="22"/>
          <w:szCs w:val="22"/>
        </w:rPr>
        <w:t xml:space="preserve">Définir le niveau de risque de </w:t>
      </w:r>
      <w:r w:rsidR="00A42819" w:rsidRPr="00A42819">
        <w:rPr>
          <w:rFonts w:ascii="Calibri" w:eastAsia="Times New Roman" w:hAnsi="Calibri"/>
          <w:sz w:val="22"/>
          <w:szCs w:val="22"/>
        </w:rPr>
        <w:t>MVTE</w:t>
      </w:r>
      <w:r w:rsidRPr="00A42819">
        <w:rPr>
          <w:rFonts w:ascii="Calibri" w:eastAsia="Times New Roman" w:hAnsi="Calibri"/>
          <w:sz w:val="22"/>
          <w:szCs w:val="22"/>
        </w:rPr>
        <w:t xml:space="preserve"> chez les femmes COVID-19 non hospitalisées</w:t>
      </w:r>
      <w:r w:rsidR="00A42819" w:rsidRPr="00A42819">
        <w:rPr>
          <w:rFonts w:ascii="Calibri" w:eastAsia="Times New Roman" w:hAnsi="Calibri"/>
          <w:sz w:val="22"/>
          <w:szCs w:val="22"/>
        </w:rPr>
        <w:t xml:space="preserve"> : </w:t>
      </w:r>
      <w:r w:rsidRPr="00A42819">
        <w:rPr>
          <w:rFonts w:ascii="Calibri" w:eastAsia="Times New Roman" w:hAnsi="Calibri"/>
          <w:sz w:val="22"/>
          <w:szCs w:val="22"/>
        </w:rPr>
        <w:t>Rechercher les autres facteurs de risque</w:t>
      </w:r>
      <w:r w:rsidR="006F0A3A" w:rsidRPr="00A42819">
        <w:rPr>
          <w:rFonts w:ascii="Calibri" w:eastAsia="Times New Roman" w:hAnsi="Calibri"/>
          <w:sz w:val="22"/>
          <w:szCs w:val="22"/>
        </w:rPr>
        <w:t xml:space="preserve"> veineux</w:t>
      </w:r>
      <w:r w:rsidR="00135591" w:rsidRPr="00A42819">
        <w:rPr>
          <w:rFonts w:ascii="Calibri" w:eastAsia="Times New Roman" w:hAnsi="Calibri"/>
          <w:sz w:val="22"/>
          <w:szCs w:val="22"/>
        </w:rPr>
        <w:t xml:space="preserve"> : âge &gt; 35 ans, alitement, </w:t>
      </w:r>
      <w:r w:rsidR="006F0A3A" w:rsidRPr="00A42819">
        <w:rPr>
          <w:rFonts w:ascii="Calibri" w:eastAsia="Times New Roman" w:hAnsi="Calibri"/>
          <w:sz w:val="22"/>
          <w:szCs w:val="22"/>
        </w:rPr>
        <w:t xml:space="preserve">immobilisation prolongée </w:t>
      </w:r>
      <w:r w:rsidR="00135591" w:rsidRPr="00A42819">
        <w:rPr>
          <w:rFonts w:ascii="Calibri" w:eastAsia="Times New Roman" w:hAnsi="Calibri"/>
          <w:sz w:val="22"/>
          <w:szCs w:val="22"/>
        </w:rPr>
        <w:t>tabac, obésité</w:t>
      </w:r>
      <w:r w:rsidR="006F0A3A" w:rsidRPr="00A42819">
        <w:rPr>
          <w:rFonts w:ascii="Calibri" w:eastAsia="Times New Roman" w:hAnsi="Calibri"/>
          <w:sz w:val="22"/>
          <w:szCs w:val="22"/>
        </w:rPr>
        <w:t>,</w:t>
      </w:r>
      <w:r w:rsidR="00135591" w:rsidRPr="00A42819">
        <w:rPr>
          <w:rFonts w:ascii="Calibri" w:eastAsia="Times New Roman" w:hAnsi="Calibri"/>
          <w:sz w:val="22"/>
          <w:szCs w:val="22"/>
        </w:rPr>
        <w:t xml:space="preserve">… </w:t>
      </w:r>
    </w:p>
    <w:p w14:paraId="1149A079" w14:textId="3A1B47E2" w:rsidR="0011426E" w:rsidRPr="00135591" w:rsidRDefault="0011426E" w:rsidP="0011426E">
      <w:pPr>
        <w:pStyle w:val="Paragraphedeliste"/>
        <w:numPr>
          <w:ilvl w:val="0"/>
          <w:numId w:val="1"/>
        </w:numPr>
        <w:rPr>
          <w:rFonts w:ascii="Calibri" w:eastAsia="Times New Roman" w:hAnsi="Calibri"/>
          <w:sz w:val="22"/>
          <w:szCs w:val="22"/>
        </w:rPr>
      </w:pPr>
      <w:r w:rsidRPr="00135591">
        <w:rPr>
          <w:rFonts w:ascii="Calibri" w:eastAsia="Times New Roman" w:hAnsi="Calibri"/>
          <w:sz w:val="22"/>
          <w:szCs w:val="22"/>
        </w:rPr>
        <w:t>Définir la sévérité de l’atteinte COVID-19</w:t>
      </w:r>
      <w:r w:rsidR="00135591" w:rsidRPr="00135591">
        <w:rPr>
          <w:rFonts w:ascii="Calibri" w:eastAsia="Times New Roman" w:hAnsi="Calibri"/>
          <w:sz w:val="22"/>
          <w:szCs w:val="22"/>
        </w:rPr>
        <w:t> </w:t>
      </w:r>
      <w:r w:rsidR="006F0A3A">
        <w:rPr>
          <w:rFonts w:ascii="Calibri" w:eastAsia="Times New Roman" w:hAnsi="Calibri"/>
          <w:sz w:val="22"/>
          <w:szCs w:val="22"/>
        </w:rPr>
        <w:t xml:space="preserve"> (y compris importance du syndrome inflammatoire)</w:t>
      </w:r>
    </w:p>
    <w:p w14:paraId="509DF7D4" w14:textId="77777777" w:rsidR="0011426E" w:rsidRDefault="0011426E" w:rsidP="0011426E">
      <w:pPr>
        <w:pStyle w:val="Paragraphedeliste"/>
        <w:numPr>
          <w:ilvl w:val="0"/>
          <w:numId w:val="1"/>
        </w:numPr>
        <w:rPr>
          <w:rFonts w:ascii="Calibri" w:eastAsia="Times New Roman" w:hAnsi="Calibri"/>
          <w:sz w:val="22"/>
          <w:szCs w:val="22"/>
        </w:rPr>
      </w:pPr>
      <w:r w:rsidRPr="00135591">
        <w:rPr>
          <w:rFonts w:ascii="Calibri" w:eastAsia="Times New Roman" w:hAnsi="Calibri"/>
          <w:sz w:val="22"/>
          <w:szCs w:val="22"/>
        </w:rPr>
        <w:t xml:space="preserve">Evaluer le rapport bénéfice-risque de la prescription d’un traitement anticoagulant préventif.  </w:t>
      </w:r>
    </w:p>
    <w:p w14:paraId="573970DB" w14:textId="67691E5A" w:rsidR="00D06869" w:rsidRPr="00135591" w:rsidRDefault="00D06869" w:rsidP="0011426E">
      <w:pPr>
        <w:pStyle w:val="Paragraphedeliste"/>
        <w:numPr>
          <w:ilvl w:val="0"/>
          <w:numId w:val="1"/>
        </w:num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Préciser</w:t>
      </w:r>
      <w:r w:rsidR="006F0A3A">
        <w:rPr>
          <w:rFonts w:ascii="Calibri" w:eastAsia="Times New Roman" w:hAnsi="Calibri"/>
          <w:sz w:val="22"/>
          <w:szCs w:val="22"/>
        </w:rPr>
        <w:t xml:space="preserve"> le type de traitement hormonal, </w:t>
      </w:r>
      <w:r>
        <w:rPr>
          <w:rFonts w:ascii="Calibri" w:eastAsia="Times New Roman" w:hAnsi="Calibri"/>
          <w:sz w:val="22"/>
          <w:szCs w:val="22"/>
        </w:rPr>
        <w:t xml:space="preserve">certains étant associés à un risque thromboembolique </w:t>
      </w:r>
      <w:r w:rsidR="006F0A3A">
        <w:rPr>
          <w:rFonts w:ascii="Calibri" w:eastAsia="Times New Roman" w:hAnsi="Calibri"/>
          <w:sz w:val="22"/>
          <w:szCs w:val="22"/>
        </w:rPr>
        <w:t>(voir ci-dessous)</w:t>
      </w:r>
    </w:p>
    <w:p w14:paraId="51AB7087" w14:textId="77777777" w:rsidR="0011426E" w:rsidRPr="00135591" w:rsidRDefault="0011426E" w:rsidP="0011426E">
      <w:pPr>
        <w:rPr>
          <w:rFonts w:ascii="Calibri" w:eastAsia="Times New Roman" w:hAnsi="Calibri"/>
          <w:sz w:val="22"/>
          <w:szCs w:val="22"/>
        </w:rPr>
      </w:pPr>
    </w:p>
    <w:p w14:paraId="3908C542" w14:textId="5D280450" w:rsidR="00135591" w:rsidRPr="00135591" w:rsidRDefault="00135591" w:rsidP="0011426E">
      <w:pPr>
        <w:rPr>
          <w:rFonts w:ascii="Calibri" w:eastAsia="Times New Roman" w:hAnsi="Calibri"/>
          <w:b/>
          <w:sz w:val="22"/>
          <w:szCs w:val="22"/>
          <w:u w:val="single"/>
        </w:rPr>
      </w:pPr>
      <w:r w:rsidRPr="00135591">
        <w:rPr>
          <w:rFonts w:ascii="Calibri" w:eastAsia="Times New Roman" w:hAnsi="Calibri"/>
          <w:b/>
          <w:sz w:val="22"/>
          <w:szCs w:val="22"/>
          <w:u w:val="single"/>
        </w:rPr>
        <w:t xml:space="preserve">Contraception hormonale </w:t>
      </w:r>
      <w:r w:rsidR="006F0A3A">
        <w:rPr>
          <w:rFonts w:ascii="Calibri" w:eastAsia="Times New Roman" w:hAnsi="Calibri"/>
          <w:b/>
          <w:sz w:val="22"/>
          <w:szCs w:val="22"/>
          <w:u w:val="single"/>
        </w:rPr>
        <w:t>estroprogestative</w:t>
      </w:r>
      <w:r w:rsidRPr="00135591">
        <w:rPr>
          <w:rFonts w:ascii="Calibri" w:eastAsia="Times New Roman" w:hAnsi="Calibri"/>
          <w:b/>
          <w:sz w:val="22"/>
          <w:szCs w:val="22"/>
          <w:u w:val="single"/>
        </w:rPr>
        <w:t xml:space="preserve"> (COP) : </w:t>
      </w:r>
    </w:p>
    <w:p w14:paraId="20844321" w14:textId="3ABC02A3" w:rsidR="0011426E" w:rsidRPr="00135591" w:rsidRDefault="006F0A3A" w:rsidP="006F0A3A">
      <w:pPr>
        <w:jc w:val="both"/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Toutes les COP quelle que soit la v</w:t>
      </w:r>
      <w:r w:rsidR="00A42819">
        <w:rPr>
          <w:rFonts w:ascii="Calibri" w:eastAsia="Times New Roman" w:hAnsi="Calibri"/>
          <w:sz w:val="22"/>
          <w:szCs w:val="22"/>
        </w:rPr>
        <w:t>o</w:t>
      </w:r>
      <w:r>
        <w:rPr>
          <w:rFonts w:ascii="Calibri" w:eastAsia="Times New Roman" w:hAnsi="Calibri"/>
          <w:sz w:val="22"/>
          <w:szCs w:val="22"/>
        </w:rPr>
        <w:t xml:space="preserve">ie d’administration augmentent le risque de MVTE.  </w:t>
      </w:r>
      <w:r w:rsidR="00135591" w:rsidRPr="00135591">
        <w:rPr>
          <w:rFonts w:ascii="Calibri" w:eastAsia="Times New Roman" w:hAnsi="Calibri"/>
          <w:sz w:val="22"/>
          <w:szCs w:val="22"/>
        </w:rPr>
        <w:t xml:space="preserve">En raison des modifications de la coagulation sous-jacente et du délai du retour à un niveau de base  (6 à 8 semaines), il ne semble pas raisonnable de modifier la </w:t>
      </w:r>
      <w:r w:rsidR="0011426E" w:rsidRPr="00135591">
        <w:rPr>
          <w:rFonts w:ascii="Calibri" w:eastAsia="Times New Roman" w:hAnsi="Calibri"/>
          <w:sz w:val="22"/>
          <w:szCs w:val="22"/>
        </w:rPr>
        <w:t> </w:t>
      </w:r>
      <w:r w:rsidR="00135591" w:rsidRPr="00135591">
        <w:rPr>
          <w:rFonts w:ascii="Calibri" w:eastAsia="Times New Roman" w:hAnsi="Calibri"/>
          <w:sz w:val="22"/>
          <w:szCs w:val="22"/>
        </w:rPr>
        <w:t>COP</w:t>
      </w:r>
    </w:p>
    <w:p w14:paraId="0D100DC7" w14:textId="676C7C94" w:rsidR="00135591" w:rsidRPr="00135591" w:rsidRDefault="006F0A3A" w:rsidP="00135591">
      <w:pPr>
        <w:pStyle w:val="Paragraphedeliste"/>
        <w:numPr>
          <w:ilvl w:val="0"/>
          <w:numId w:val="2"/>
        </w:numPr>
        <w:rPr>
          <w:rFonts w:ascii="Calibri" w:eastAsia="Times New Roman" w:hAnsi="Calibri"/>
          <w:b/>
          <w:color w:val="FF0000"/>
          <w:sz w:val="22"/>
          <w:szCs w:val="22"/>
        </w:rPr>
      </w:pPr>
      <w:r>
        <w:rPr>
          <w:rFonts w:ascii="Calibri" w:eastAsia="Times New Roman" w:hAnsi="Calibri"/>
          <w:b/>
          <w:color w:val="FF0000"/>
          <w:sz w:val="22"/>
          <w:szCs w:val="22"/>
        </w:rPr>
        <w:t>Si pas de facteur</w:t>
      </w:r>
      <w:r w:rsidR="00135591" w:rsidRPr="00135591">
        <w:rPr>
          <w:rFonts w:ascii="Calibri" w:eastAsia="Times New Roman" w:hAnsi="Calibri"/>
          <w:b/>
          <w:color w:val="FF0000"/>
          <w:sz w:val="22"/>
          <w:szCs w:val="22"/>
        </w:rPr>
        <w:t xml:space="preserve"> de risque surajouté et COVID-19 peu sévère : poursuite de la COP</w:t>
      </w:r>
      <w:r w:rsidR="00692129">
        <w:rPr>
          <w:rFonts w:ascii="Calibri" w:eastAsia="Times New Roman" w:hAnsi="Calibri"/>
          <w:b/>
          <w:color w:val="FF0000"/>
          <w:sz w:val="22"/>
          <w:szCs w:val="22"/>
        </w:rPr>
        <w:t xml:space="preserve"> +/- </w:t>
      </w:r>
      <w:r w:rsidR="00A42819">
        <w:rPr>
          <w:rFonts w:ascii="Calibri" w:eastAsia="Times New Roman" w:hAnsi="Calibri"/>
          <w:b/>
          <w:color w:val="FF0000"/>
          <w:sz w:val="22"/>
          <w:szCs w:val="22"/>
        </w:rPr>
        <w:t xml:space="preserve"> associée à une c</w:t>
      </w:r>
      <w:r w:rsidR="00692129">
        <w:rPr>
          <w:rFonts w:ascii="Calibri" w:eastAsia="Times New Roman" w:hAnsi="Calibri"/>
          <w:b/>
          <w:color w:val="FF0000"/>
          <w:sz w:val="22"/>
          <w:szCs w:val="22"/>
        </w:rPr>
        <w:t>ontention</w:t>
      </w:r>
    </w:p>
    <w:p w14:paraId="3BED3507" w14:textId="1C75A9BF" w:rsidR="00135591" w:rsidRPr="00135591" w:rsidRDefault="00135591" w:rsidP="00135591">
      <w:pPr>
        <w:pStyle w:val="Paragraphedeliste"/>
        <w:numPr>
          <w:ilvl w:val="0"/>
          <w:numId w:val="2"/>
        </w:numPr>
        <w:rPr>
          <w:rFonts w:ascii="Calibri" w:eastAsia="Times New Roman" w:hAnsi="Calibri"/>
          <w:b/>
          <w:color w:val="FF0000"/>
          <w:sz w:val="22"/>
          <w:szCs w:val="22"/>
        </w:rPr>
      </w:pPr>
      <w:r w:rsidRPr="00135591">
        <w:rPr>
          <w:rFonts w:ascii="Calibri" w:eastAsia="Times New Roman" w:hAnsi="Calibri"/>
          <w:b/>
          <w:color w:val="FF0000"/>
          <w:sz w:val="22"/>
          <w:szCs w:val="22"/>
        </w:rPr>
        <w:t>Si facteurs de risque surajouté</w:t>
      </w:r>
      <w:r w:rsidR="006F0A3A">
        <w:rPr>
          <w:rFonts w:ascii="Calibri" w:eastAsia="Times New Roman" w:hAnsi="Calibri"/>
          <w:b/>
          <w:color w:val="FF0000"/>
          <w:sz w:val="22"/>
          <w:szCs w:val="22"/>
        </w:rPr>
        <w:t>s</w:t>
      </w:r>
      <w:r w:rsidRPr="00135591">
        <w:rPr>
          <w:rFonts w:ascii="Calibri" w:eastAsia="Times New Roman" w:hAnsi="Calibri"/>
          <w:b/>
          <w:color w:val="FF0000"/>
          <w:sz w:val="22"/>
          <w:szCs w:val="22"/>
        </w:rPr>
        <w:t xml:space="preserve"> et/ou COVID- 19 sympt</w:t>
      </w:r>
      <w:r w:rsidR="00D56F3C">
        <w:rPr>
          <w:rFonts w:ascii="Calibri" w:eastAsia="Times New Roman" w:hAnsi="Calibri"/>
          <w:b/>
          <w:color w:val="FF0000"/>
          <w:sz w:val="22"/>
          <w:szCs w:val="22"/>
        </w:rPr>
        <w:t>omatique (alitement, fièvre</w:t>
      </w:r>
      <w:r w:rsidR="00A42819">
        <w:rPr>
          <w:rFonts w:ascii="Calibri" w:eastAsia="Times New Roman" w:hAnsi="Calibri"/>
          <w:b/>
          <w:color w:val="FF0000"/>
          <w:sz w:val="22"/>
          <w:szCs w:val="22"/>
        </w:rPr>
        <w:t>, …</w:t>
      </w:r>
      <w:r w:rsidR="00D56F3C">
        <w:rPr>
          <w:rFonts w:ascii="Calibri" w:eastAsia="Times New Roman" w:hAnsi="Calibri"/>
          <w:b/>
          <w:color w:val="FF0000"/>
          <w:sz w:val="22"/>
          <w:szCs w:val="22"/>
        </w:rPr>
        <w:t xml:space="preserve">) : </w:t>
      </w:r>
      <w:r w:rsidR="006F0A3A">
        <w:rPr>
          <w:rFonts w:ascii="Calibri" w:eastAsia="Times New Roman" w:hAnsi="Calibri"/>
          <w:b/>
          <w:color w:val="FF0000"/>
          <w:sz w:val="22"/>
          <w:szCs w:val="22"/>
        </w:rPr>
        <w:t xml:space="preserve">Poursuite de la contraception associée à une </w:t>
      </w:r>
      <w:r w:rsidRPr="00135591">
        <w:rPr>
          <w:rFonts w:ascii="Calibri" w:eastAsia="Times New Roman" w:hAnsi="Calibri"/>
          <w:b/>
          <w:color w:val="FF0000"/>
          <w:sz w:val="22"/>
          <w:szCs w:val="22"/>
        </w:rPr>
        <w:t xml:space="preserve">HBPM préventive type Lovenox 4000UI/jour et si poids &gt; 90 </w:t>
      </w:r>
      <w:proofErr w:type="spellStart"/>
      <w:r w:rsidRPr="00135591">
        <w:rPr>
          <w:rFonts w:ascii="Calibri" w:eastAsia="Times New Roman" w:hAnsi="Calibri"/>
          <w:b/>
          <w:color w:val="FF0000"/>
          <w:sz w:val="22"/>
          <w:szCs w:val="22"/>
        </w:rPr>
        <w:t>kgs</w:t>
      </w:r>
      <w:proofErr w:type="spellEnd"/>
      <w:r w:rsidRPr="00135591">
        <w:rPr>
          <w:rFonts w:ascii="Calibri" w:eastAsia="Times New Roman" w:hAnsi="Calibri"/>
          <w:b/>
          <w:color w:val="FF0000"/>
          <w:sz w:val="22"/>
          <w:szCs w:val="22"/>
        </w:rPr>
        <w:t xml:space="preserve"> 6000 UI/jour </w:t>
      </w:r>
      <w:r>
        <w:rPr>
          <w:rFonts w:ascii="Calibri" w:eastAsia="Times New Roman" w:hAnsi="Calibri"/>
          <w:b/>
          <w:color w:val="FF0000"/>
          <w:sz w:val="22"/>
          <w:szCs w:val="22"/>
        </w:rPr>
        <w:t xml:space="preserve"> jusqu’à guérison</w:t>
      </w:r>
    </w:p>
    <w:p w14:paraId="16182E0E" w14:textId="77777777" w:rsidR="00135591" w:rsidRPr="00135591" w:rsidRDefault="00135591" w:rsidP="00135591">
      <w:pPr>
        <w:ind w:left="1074"/>
        <w:rPr>
          <w:rFonts w:ascii="Calibri" w:eastAsia="Times New Roman" w:hAnsi="Calibri"/>
          <w:sz w:val="22"/>
          <w:szCs w:val="22"/>
        </w:rPr>
      </w:pPr>
    </w:p>
    <w:p w14:paraId="38AB80C4" w14:textId="3361B79F" w:rsidR="00135591" w:rsidRPr="00135591" w:rsidRDefault="00135591" w:rsidP="00135591">
      <w:pPr>
        <w:rPr>
          <w:rFonts w:ascii="Calibri" w:eastAsia="Times New Roman" w:hAnsi="Calibri"/>
          <w:b/>
          <w:sz w:val="22"/>
          <w:szCs w:val="22"/>
          <w:u w:val="single"/>
        </w:rPr>
      </w:pPr>
      <w:r w:rsidRPr="00135591">
        <w:rPr>
          <w:rFonts w:ascii="Calibri" w:eastAsia="Times New Roman" w:hAnsi="Calibri"/>
          <w:b/>
          <w:sz w:val="22"/>
          <w:szCs w:val="22"/>
          <w:u w:val="single"/>
        </w:rPr>
        <w:t>Contrac</w:t>
      </w:r>
      <w:r w:rsidR="00692129">
        <w:rPr>
          <w:rFonts w:ascii="Calibri" w:eastAsia="Times New Roman" w:hAnsi="Calibri"/>
          <w:b/>
          <w:sz w:val="22"/>
          <w:szCs w:val="22"/>
          <w:u w:val="single"/>
        </w:rPr>
        <w:t>eption hormonale  progestative </w:t>
      </w:r>
      <w:r w:rsidR="00692129" w:rsidRPr="006F0A3A">
        <w:rPr>
          <w:rFonts w:ascii="Calibri" w:eastAsia="Times New Roman" w:hAnsi="Calibri"/>
          <w:sz w:val="18"/>
          <w:szCs w:val="22"/>
        </w:rPr>
        <w:t xml:space="preserve">(en dehors de la contraception </w:t>
      </w:r>
      <w:r w:rsidR="006F0A3A" w:rsidRPr="006F0A3A">
        <w:rPr>
          <w:rFonts w:ascii="Calibri" w:eastAsia="Times New Roman" w:hAnsi="Calibri"/>
          <w:sz w:val="18"/>
          <w:szCs w:val="22"/>
        </w:rPr>
        <w:t>injectable par acétate de médroxyprogestérone)</w:t>
      </w:r>
      <w:r w:rsidRPr="006F0A3A">
        <w:rPr>
          <w:rFonts w:ascii="Calibri" w:eastAsia="Times New Roman" w:hAnsi="Calibri"/>
          <w:b/>
          <w:sz w:val="18"/>
          <w:szCs w:val="22"/>
          <w:u w:val="single"/>
        </w:rPr>
        <w:t xml:space="preserve"> </w:t>
      </w:r>
    </w:p>
    <w:p w14:paraId="2677A317" w14:textId="2FCF35EA" w:rsidR="00135591" w:rsidRPr="00135591" w:rsidRDefault="00692129" w:rsidP="0011426E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 xml:space="preserve">Ce type de </w:t>
      </w:r>
      <w:r w:rsidR="00135591" w:rsidRPr="00135591">
        <w:rPr>
          <w:rFonts w:ascii="Calibri" w:eastAsia="Times New Roman" w:hAnsi="Calibri"/>
          <w:sz w:val="22"/>
          <w:szCs w:val="22"/>
        </w:rPr>
        <w:t xml:space="preserve"> contraception n’est pas associé à des modifications de la coagulation : </w:t>
      </w:r>
      <w:r w:rsidR="00135591" w:rsidRPr="00135591">
        <w:rPr>
          <w:rFonts w:ascii="Calibri" w:eastAsia="Times New Roman" w:hAnsi="Calibri"/>
          <w:sz w:val="22"/>
          <w:szCs w:val="22"/>
        </w:rPr>
        <w:sym w:font="Wingdings" w:char="F0E8"/>
      </w:r>
      <w:r w:rsidR="00135591" w:rsidRPr="00135591">
        <w:rPr>
          <w:rFonts w:ascii="Calibri" w:eastAsia="Times New Roman" w:hAnsi="Calibri"/>
          <w:sz w:val="22"/>
          <w:szCs w:val="22"/>
        </w:rPr>
        <w:t xml:space="preserve"> poursuite de cette contraception </w:t>
      </w:r>
    </w:p>
    <w:p w14:paraId="56B8728F" w14:textId="77777777" w:rsidR="00135591" w:rsidRPr="00135591" w:rsidRDefault="00135591" w:rsidP="0011426E">
      <w:pPr>
        <w:rPr>
          <w:rFonts w:ascii="Calibri" w:eastAsia="Times New Roman" w:hAnsi="Calibri"/>
          <w:sz w:val="22"/>
          <w:szCs w:val="22"/>
        </w:rPr>
      </w:pPr>
    </w:p>
    <w:p w14:paraId="46CE0DED" w14:textId="77777777" w:rsidR="006F0A3A" w:rsidRDefault="00135591" w:rsidP="0011426E">
      <w:pPr>
        <w:rPr>
          <w:rFonts w:ascii="Calibri" w:eastAsia="Times New Roman" w:hAnsi="Calibri"/>
          <w:b/>
          <w:sz w:val="22"/>
          <w:szCs w:val="22"/>
          <w:u w:val="single"/>
        </w:rPr>
      </w:pPr>
      <w:r w:rsidRPr="00135591">
        <w:rPr>
          <w:rFonts w:ascii="Calibri" w:eastAsia="Times New Roman" w:hAnsi="Calibri"/>
          <w:b/>
          <w:sz w:val="22"/>
          <w:szCs w:val="22"/>
          <w:u w:val="single"/>
        </w:rPr>
        <w:t>Traitement hormonal de ménopause</w:t>
      </w:r>
      <w:r w:rsidR="006F0A3A">
        <w:rPr>
          <w:rFonts w:ascii="Calibri" w:eastAsia="Times New Roman" w:hAnsi="Calibri"/>
          <w:b/>
          <w:sz w:val="22"/>
          <w:szCs w:val="22"/>
          <w:u w:val="single"/>
        </w:rPr>
        <w:t xml:space="preserve"> (THM)</w:t>
      </w:r>
    </w:p>
    <w:p w14:paraId="7D0FC38B" w14:textId="146BF0B9" w:rsidR="00135591" w:rsidRPr="006F0A3A" w:rsidRDefault="006F0A3A" w:rsidP="006F0A3A">
      <w:pPr>
        <w:pStyle w:val="Paragraphedeliste"/>
        <w:numPr>
          <w:ilvl w:val="0"/>
          <w:numId w:val="3"/>
        </w:numPr>
        <w:ind w:left="1134"/>
        <w:rPr>
          <w:rFonts w:ascii="Calibri" w:eastAsia="Times New Roman" w:hAnsi="Calibri"/>
          <w:b/>
          <w:sz w:val="22"/>
          <w:szCs w:val="22"/>
          <w:u w:val="single"/>
        </w:rPr>
      </w:pPr>
      <w:r>
        <w:rPr>
          <w:rFonts w:ascii="Calibri" w:eastAsia="Times New Roman" w:hAnsi="Calibri"/>
          <w:b/>
          <w:sz w:val="22"/>
          <w:szCs w:val="22"/>
          <w:u w:val="single"/>
        </w:rPr>
        <w:t xml:space="preserve">Estrogènes </w:t>
      </w:r>
      <w:r w:rsidR="00135591" w:rsidRPr="006F0A3A">
        <w:rPr>
          <w:rFonts w:ascii="Calibri" w:eastAsia="Times New Roman" w:hAnsi="Calibri"/>
          <w:b/>
          <w:sz w:val="22"/>
          <w:szCs w:val="22"/>
          <w:u w:val="single"/>
        </w:rPr>
        <w:t xml:space="preserve">par voie orale : </w:t>
      </w:r>
    </w:p>
    <w:p w14:paraId="60CDA567" w14:textId="47F41E78" w:rsidR="00135591" w:rsidRPr="00135591" w:rsidRDefault="006F0A3A" w:rsidP="0013559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 xml:space="preserve">Les estrogènes par voie  orale augmentent le risque de MVTE. </w:t>
      </w:r>
      <w:r w:rsidR="00135591" w:rsidRPr="00135591">
        <w:rPr>
          <w:rFonts w:ascii="Calibri" w:eastAsia="Times New Roman" w:hAnsi="Calibri"/>
          <w:sz w:val="22"/>
          <w:szCs w:val="22"/>
        </w:rPr>
        <w:t xml:space="preserve">En raison des modifications de la coagulation sous-jacente et du délai du retour à un niveau de base  (6 à 8 semaines), il semble raisonnable de </w:t>
      </w:r>
      <w:r>
        <w:rPr>
          <w:rFonts w:ascii="Calibri" w:eastAsia="Times New Roman" w:hAnsi="Calibri"/>
          <w:sz w:val="22"/>
          <w:szCs w:val="22"/>
        </w:rPr>
        <w:t xml:space="preserve">réévaluer la balance bénéfice-risque et de </w:t>
      </w:r>
      <w:r w:rsidR="00135591" w:rsidRPr="00135591">
        <w:rPr>
          <w:rFonts w:ascii="Calibri" w:eastAsia="Times New Roman" w:hAnsi="Calibri"/>
          <w:sz w:val="22"/>
          <w:szCs w:val="22"/>
        </w:rPr>
        <w:t xml:space="preserve">modifier ce THM pour soit l’arrêter </w:t>
      </w:r>
      <w:r>
        <w:rPr>
          <w:rFonts w:ascii="Calibri" w:eastAsia="Times New Roman" w:hAnsi="Calibri"/>
          <w:sz w:val="22"/>
          <w:szCs w:val="22"/>
        </w:rPr>
        <w:t>(balance bénéfice-risque défavorable)</w:t>
      </w:r>
      <w:r w:rsidR="00135591" w:rsidRPr="00135591">
        <w:rPr>
          <w:rFonts w:ascii="Calibri" w:eastAsia="Times New Roman" w:hAnsi="Calibri"/>
          <w:sz w:val="22"/>
          <w:szCs w:val="22"/>
        </w:rPr>
        <w:t xml:space="preserve"> soit </w:t>
      </w:r>
      <w:r w:rsidR="00D56F3C">
        <w:rPr>
          <w:rFonts w:ascii="Calibri" w:eastAsia="Times New Roman" w:hAnsi="Calibri"/>
          <w:sz w:val="22"/>
          <w:szCs w:val="22"/>
        </w:rPr>
        <w:t>le modifie</w:t>
      </w:r>
      <w:r w:rsidR="00692129">
        <w:rPr>
          <w:rFonts w:ascii="Calibri" w:eastAsia="Times New Roman" w:hAnsi="Calibri"/>
          <w:sz w:val="22"/>
          <w:szCs w:val="22"/>
        </w:rPr>
        <w:t>r</w:t>
      </w:r>
      <w:r w:rsidR="00D56F3C">
        <w:rPr>
          <w:rFonts w:ascii="Calibri" w:eastAsia="Times New Roman" w:hAnsi="Calibri"/>
          <w:sz w:val="22"/>
          <w:szCs w:val="22"/>
        </w:rPr>
        <w:t xml:space="preserve"> pour</w:t>
      </w:r>
      <w:r w:rsidR="00135591" w:rsidRPr="00135591">
        <w:rPr>
          <w:rFonts w:ascii="Calibri" w:eastAsia="Times New Roman" w:hAnsi="Calibri"/>
          <w:sz w:val="22"/>
          <w:szCs w:val="22"/>
        </w:rPr>
        <w:t xml:space="preserve"> une voie percutanée associée à la progestérone naturelle</w:t>
      </w:r>
      <w:r>
        <w:rPr>
          <w:rFonts w:ascii="Calibri" w:eastAsia="Times New Roman" w:hAnsi="Calibri"/>
          <w:sz w:val="22"/>
          <w:szCs w:val="22"/>
        </w:rPr>
        <w:t xml:space="preserve"> ou </w:t>
      </w:r>
      <w:proofErr w:type="gramStart"/>
      <w:r>
        <w:rPr>
          <w:rFonts w:ascii="Calibri" w:eastAsia="Times New Roman" w:hAnsi="Calibri"/>
          <w:sz w:val="22"/>
          <w:szCs w:val="22"/>
        </w:rPr>
        <w:t xml:space="preserve">dydrogestérone </w:t>
      </w:r>
      <w:r w:rsidR="00A42819">
        <w:rPr>
          <w:rFonts w:ascii="Calibri" w:eastAsia="Times New Roman" w:hAnsi="Calibri"/>
          <w:sz w:val="22"/>
          <w:szCs w:val="22"/>
        </w:rPr>
        <w:t>.</w:t>
      </w:r>
      <w:proofErr w:type="gramEnd"/>
      <w:r w:rsidR="00135591" w:rsidRPr="00135591">
        <w:rPr>
          <w:rFonts w:ascii="Calibri" w:eastAsia="Times New Roman" w:hAnsi="Calibri"/>
          <w:sz w:val="22"/>
          <w:szCs w:val="22"/>
        </w:rPr>
        <w:t xml:space="preserve"> </w:t>
      </w:r>
    </w:p>
    <w:p w14:paraId="4C4F4EA3" w14:textId="283856E0" w:rsidR="00135591" w:rsidRPr="00135591" w:rsidRDefault="00135591" w:rsidP="00135591">
      <w:pPr>
        <w:pStyle w:val="Paragraphedeliste"/>
        <w:numPr>
          <w:ilvl w:val="0"/>
          <w:numId w:val="2"/>
        </w:numPr>
        <w:rPr>
          <w:rFonts w:ascii="Calibri" w:eastAsia="Times New Roman" w:hAnsi="Calibri"/>
          <w:b/>
          <w:color w:val="FF0000"/>
          <w:sz w:val="22"/>
          <w:szCs w:val="22"/>
        </w:rPr>
      </w:pPr>
      <w:r w:rsidRPr="00135591">
        <w:rPr>
          <w:rFonts w:ascii="Calibri" w:eastAsia="Times New Roman" w:hAnsi="Calibri"/>
          <w:b/>
          <w:color w:val="FF0000"/>
          <w:sz w:val="22"/>
          <w:szCs w:val="22"/>
        </w:rPr>
        <w:t>Si pas de facteur de risque surajouté et COVID-19 peu sévère </w:t>
      </w:r>
      <w:r w:rsidR="00A42819" w:rsidRPr="00135591">
        <w:rPr>
          <w:rFonts w:ascii="Calibri" w:eastAsia="Times New Roman" w:hAnsi="Calibri"/>
          <w:b/>
          <w:color w:val="FF0000"/>
          <w:sz w:val="22"/>
          <w:szCs w:val="22"/>
        </w:rPr>
        <w:t>: pas</w:t>
      </w:r>
      <w:r w:rsidRPr="00135591">
        <w:rPr>
          <w:rFonts w:ascii="Calibri" w:eastAsia="Times New Roman" w:hAnsi="Calibri"/>
          <w:b/>
          <w:color w:val="FF0000"/>
          <w:sz w:val="22"/>
          <w:szCs w:val="22"/>
        </w:rPr>
        <w:t xml:space="preserve"> d’HBPM</w:t>
      </w:r>
    </w:p>
    <w:p w14:paraId="1988A479" w14:textId="3037E693" w:rsidR="00135591" w:rsidRPr="006F0A3A" w:rsidRDefault="00135591" w:rsidP="00135591">
      <w:pPr>
        <w:pStyle w:val="Paragraphedeliste"/>
        <w:numPr>
          <w:ilvl w:val="0"/>
          <w:numId w:val="2"/>
        </w:numPr>
        <w:rPr>
          <w:rFonts w:ascii="Calibri" w:eastAsia="Times New Roman" w:hAnsi="Calibri"/>
          <w:b/>
          <w:color w:val="FF0000"/>
          <w:sz w:val="22"/>
          <w:szCs w:val="22"/>
        </w:rPr>
      </w:pPr>
      <w:r w:rsidRPr="00135591">
        <w:rPr>
          <w:rFonts w:ascii="Calibri" w:eastAsia="Times New Roman" w:hAnsi="Calibri"/>
          <w:b/>
          <w:color w:val="FF0000"/>
          <w:sz w:val="22"/>
          <w:szCs w:val="22"/>
        </w:rPr>
        <w:t>Si facteur de risque surajouté et/ou COVID- 19 sévère (alitement fièvre</w:t>
      </w:r>
      <w:r w:rsidR="006F0A3A">
        <w:rPr>
          <w:rFonts w:ascii="Calibri" w:eastAsia="Times New Roman" w:hAnsi="Calibri"/>
          <w:b/>
          <w:color w:val="FF0000"/>
          <w:sz w:val="22"/>
          <w:szCs w:val="22"/>
        </w:rPr>
        <w:t>..</w:t>
      </w:r>
      <w:r w:rsidRPr="00135591">
        <w:rPr>
          <w:rFonts w:ascii="Calibri" w:eastAsia="Times New Roman" w:hAnsi="Calibri"/>
          <w:b/>
          <w:color w:val="FF0000"/>
          <w:sz w:val="22"/>
          <w:szCs w:val="22"/>
        </w:rPr>
        <w:t xml:space="preserve">) </w:t>
      </w:r>
      <w:r w:rsidR="00A42819" w:rsidRPr="00135591">
        <w:rPr>
          <w:rFonts w:ascii="Calibri" w:eastAsia="Times New Roman" w:hAnsi="Calibri"/>
          <w:b/>
          <w:color w:val="FF0000"/>
          <w:sz w:val="22"/>
          <w:szCs w:val="22"/>
        </w:rPr>
        <w:t>: HBPM</w:t>
      </w:r>
      <w:r w:rsidRPr="00135591">
        <w:rPr>
          <w:rFonts w:ascii="Calibri" w:eastAsia="Times New Roman" w:hAnsi="Calibri"/>
          <w:b/>
          <w:color w:val="FF0000"/>
          <w:sz w:val="22"/>
          <w:szCs w:val="22"/>
        </w:rPr>
        <w:t xml:space="preserve"> préventive type Lovenox 4000UI/jour  et si poids &gt; 90 </w:t>
      </w:r>
      <w:proofErr w:type="spellStart"/>
      <w:r w:rsidRPr="00135591">
        <w:rPr>
          <w:rFonts w:ascii="Calibri" w:eastAsia="Times New Roman" w:hAnsi="Calibri"/>
          <w:b/>
          <w:color w:val="FF0000"/>
          <w:sz w:val="22"/>
          <w:szCs w:val="22"/>
        </w:rPr>
        <w:t>kgs</w:t>
      </w:r>
      <w:proofErr w:type="spellEnd"/>
      <w:r w:rsidRPr="00135591">
        <w:rPr>
          <w:rFonts w:ascii="Calibri" w:eastAsia="Times New Roman" w:hAnsi="Calibri"/>
          <w:b/>
          <w:color w:val="FF0000"/>
          <w:sz w:val="22"/>
          <w:szCs w:val="22"/>
        </w:rPr>
        <w:t xml:space="preserve"> 6000 UI/jour</w:t>
      </w:r>
      <w:r>
        <w:rPr>
          <w:rFonts w:ascii="Calibri" w:eastAsia="Times New Roman" w:hAnsi="Calibri"/>
          <w:b/>
          <w:color w:val="FF0000"/>
          <w:sz w:val="22"/>
          <w:szCs w:val="22"/>
        </w:rPr>
        <w:t xml:space="preserve"> jusqu’à guérison</w:t>
      </w:r>
    </w:p>
    <w:p w14:paraId="2A1A86F5" w14:textId="52C23BED" w:rsidR="00135591" w:rsidRPr="006F0A3A" w:rsidRDefault="006F0A3A" w:rsidP="006F0A3A">
      <w:pPr>
        <w:pStyle w:val="Paragraphedeliste"/>
        <w:numPr>
          <w:ilvl w:val="0"/>
          <w:numId w:val="3"/>
        </w:numPr>
        <w:ind w:left="1134"/>
        <w:rPr>
          <w:rFonts w:ascii="Calibri" w:eastAsia="Times New Roman" w:hAnsi="Calibri"/>
          <w:sz w:val="22"/>
          <w:szCs w:val="22"/>
        </w:rPr>
      </w:pPr>
      <w:r w:rsidRPr="006F0A3A">
        <w:rPr>
          <w:rFonts w:ascii="Calibri" w:eastAsia="Times New Roman" w:hAnsi="Calibri"/>
          <w:b/>
          <w:sz w:val="22"/>
          <w:szCs w:val="22"/>
          <w:u w:val="single"/>
        </w:rPr>
        <w:t>Estrogènes</w:t>
      </w:r>
      <w:r>
        <w:rPr>
          <w:rFonts w:ascii="Calibri" w:eastAsia="Times New Roman" w:hAnsi="Calibri"/>
          <w:b/>
          <w:sz w:val="22"/>
          <w:szCs w:val="22"/>
          <w:u w:val="single"/>
        </w:rPr>
        <w:t xml:space="preserve"> par voie </w:t>
      </w:r>
      <w:r w:rsidR="0009708A" w:rsidRPr="006F0A3A">
        <w:rPr>
          <w:rFonts w:ascii="Calibri" w:eastAsia="Times New Roman" w:hAnsi="Calibri"/>
          <w:b/>
          <w:sz w:val="22"/>
          <w:szCs w:val="22"/>
          <w:u w:val="single"/>
        </w:rPr>
        <w:t xml:space="preserve"> </w:t>
      </w:r>
      <w:r w:rsidR="00D56F3C" w:rsidRPr="006F0A3A">
        <w:rPr>
          <w:rFonts w:ascii="Calibri" w:eastAsia="Times New Roman" w:hAnsi="Calibri"/>
          <w:b/>
          <w:sz w:val="22"/>
          <w:szCs w:val="22"/>
          <w:u w:val="single"/>
        </w:rPr>
        <w:t>non orale</w:t>
      </w:r>
      <w:r w:rsidR="00692129" w:rsidRPr="006F0A3A">
        <w:rPr>
          <w:rFonts w:ascii="Calibri" w:eastAsia="Times New Roman" w:hAnsi="Calibri"/>
          <w:b/>
          <w:sz w:val="22"/>
          <w:szCs w:val="22"/>
          <w:u w:val="single"/>
        </w:rPr>
        <w:t xml:space="preserve"> (gel ou patch d’estradiol)</w:t>
      </w:r>
      <w:r w:rsidR="0009708A" w:rsidRPr="006F0A3A">
        <w:rPr>
          <w:rFonts w:ascii="Calibri" w:eastAsia="Times New Roman" w:hAnsi="Calibri"/>
          <w:sz w:val="22"/>
          <w:szCs w:val="22"/>
        </w:rPr>
        <w:t> : pas de sur</w:t>
      </w:r>
      <w:r w:rsidR="00D56F3C" w:rsidRPr="006F0A3A">
        <w:rPr>
          <w:rFonts w:ascii="Calibri" w:eastAsia="Times New Roman" w:hAnsi="Calibri"/>
          <w:sz w:val="22"/>
          <w:szCs w:val="22"/>
        </w:rPr>
        <w:t>-</w:t>
      </w:r>
      <w:r w:rsidR="0009708A" w:rsidRPr="006F0A3A">
        <w:rPr>
          <w:rFonts w:ascii="Calibri" w:eastAsia="Times New Roman" w:hAnsi="Calibri"/>
          <w:sz w:val="22"/>
          <w:szCs w:val="22"/>
        </w:rPr>
        <w:t>risque thromboembolique</w:t>
      </w:r>
      <w:r>
        <w:rPr>
          <w:rFonts w:ascii="Calibri" w:eastAsia="Times New Roman" w:hAnsi="Calibri"/>
          <w:sz w:val="22"/>
          <w:szCs w:val="22"/>
        </w:rPr>
        <w:t xml:space="preserve"> </w:t>
      </w:r>
      <w:r w:rsidRPr="006F0A3A">
        <w:rPr>
          <w:rFonts w:ascii="Calibri" w:eastAsia="Times New Roman" w:hAnsi="Calibri"/>
          <w:sz w:val="22"/>
          <w:szCs w:val="22"/>
        </w:rPr>
        <w:sym w:font="Wingdings" w:char="F0E8"/>
      </w:r>
      <w:r>
        <w:rPr>
          <w:rFonts w:ascii="Calibri" w:eastAsia="Times New Roman" w:hAnsi="Calibri"/>
          <w:sz w:val="22"/>
          <w:szCs w:val="22"/>
        </w:rPr>
        <w:t xml:space="preserve"> poursuite du THM</w:t>
      </w:r>
    </w:p>
    <w:p w14:paraId="0030A3F8" w14:textId="77777777" w:rsidR="00D56F3C" w:rsidRPr="00135591" w:rsidRDefault="00D56F3C" w:rsidP="0011426E">
      <w:pPr>
        <w:rPr>
          <w:rFonts w:ascii="Calibri" w:eastAsia="Times New Roman" w:hAnsi="Calibri"/>
          <w:sz w:val="22"/>
          <w:szCs w:val="22"/>
        </w:rPr>
      </w:pPr>
    </w:p>
    <w:p w14:paraId="56B8260A" w14:textId="77777777" w:rsidR="00135591" w:rsidRPr="00135591" w:rsidRDefault="00135591" w:rsidP="00135591">
      <w:pPr>
        <w:rPr>
          <w:rFonts w:ascii="Calibri" w:eastAsia="Times New Roman" w:hAnsi="Calibri"/>
          <w:b/>
          <w:sz w:val="22"/>
          <w:szCs w:val="22"/>
          <w:u w:val="single"/>
        </w:rPr>
      </w:pPr>
      <w:r w:rsidRPr="00135591">
        <w:rPr>
          <w:rFonts w:ascii="Calibri" w:eastAsia="Times New Roman" w:hAnsi="Calibri"/>
          <w:b/>
          <w:sz w:val="22"/>
          <w:szCs w:val="22"/>
          <w:u w:val="single"/>
        </w:rPr>
        <w:t xml:space="preserve">Traitement hormonal </w:t>
      </w:r>
      <w:r>
        <w:rPr>
          <w:rFonts w:ascii="Calibri" w:eastAsia="Times New Roman" w:hAnsi="Calibri"/>
          <w:b/>
          <w:sz w:val="22"/>
          <w:szCs w:val="22"/>
          <w:u w:val="single"/>
        </w:rPr>
        <w:t>adjuvant (type Tamoxifène)</w:t>
      </w:r>
      <w:r w:rsidRPr="00135591">
        <w:rPr>
          <w:rFonts w:ascii="Calibri" w:eastAsia="Times New Roman" w:hAnsi="Calibri"/>
          <w:b/>
          <w:sz w:val="22"/>
          <w:szCs w:val="22"/>
          <w:u w:val="single"/>
        </w:rPr>
        <w:t xml:space="preserve"> : </w:t>
      </w:r>
    </w:p>
    <w:p w14:paraId="719840F2" w14:textId="00281445" w:rsidR="00135591" w:rsidRDefault="006F0A3A" w:rsidP="0013559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 xml:space="preserve">Le Tamoxifène  augmente le risque de MVTE. </w:t>
      </w:r>
      <w:r w:rsidR="00135591" w:rsidRPr="00135591">
        <w:rPr>
          <w:rFonts w:ascii="Calibri" w:eastAsia="Times New Roman" w:hAnsi="Calibri"/>
          <w:sz w:val="22"/>
          <w:szCs w:val="22"/>
        </w:rPr>
        <w:t xml:space="preserve">En raison des modifications de la coagulation sous-jacente et du délai du retour à un niveau de base  (6 à 8 semaines), il ne semble pas raisonnable de modifier </w:t>
      </w:r>
      <w:r w:rsidR="00135591">
        <w:rPr>
          <w:rFonts w:ascii="Calibri" w:eastAsia="Times New Roman" w:hAnsi="Calibri"/>
          <w:sz w:val="22"/>
          <w:szCs w:val="22"/>
        </w:rPr>
        <w:t>ce traitement compte tenu de la balance bénéfice risque</w:t>
      </w:r>
    </w:p>
    <w:p w14:paraId="4FC3AC29" w14:textId="703C6C23" w:rsidR="006F0A3A" w:rsidRDefault="006F0A3A" w:rsidP="006F0A3A">
      <w:pPr>
        <w:pStyle w:val="Paragraphedeliste"/>
        <w:numPr>
          <w:ilvl w:val="0"/>
          <w:numId w:val="2"/>
        </w:numPr>
        <w:rPr>
          <w:rFonts w:ascii="Calibri" w:eastAsia="Times New Roman" w:hAnsi="Calibri"/>
          <w:b/>
          <w:color w:val="FF0000"/>
          <w:sz w:val="22"/>
          <w:szCs w:val="22"/>
        </w:rPr>
      </w:pPr>
      <w:r w:rsidRPr="00135591">
        <w:rPr>
          <w:rFonts w:ascii="Calibri" w:eastAsia="Times New Roman" w:hAnsi="Calibri"/>
          <w:b/>
          <w:color w:val="FF0000"/>
          <w:sz w:val="22"/>
          <w:szCs w:val="22"/>
        </w:rPr>
        <w:t>Si pas de facteur de risque surajouté et COVID-19 peu sévère : poursuite</w:t>
      </w:r>
      <w:r w:rsidRPr="006F0A3A">
        <w:rPr>
          <w:rFonts w:ascii="Calibri" w:eastAsia="Times New Roman" w:hAnsi="Calibri"/>
          <w:b/>
          <w:color w:val="FF0000"/>
          <w:sz w:val="22"/>
          <w:szCs w:val="22"/>
        </w:rPr>
        <w:t xml:space="preserve"> du </w:t>
      </w:r>
      <w:r>
        <w:rPr>
          <w:rFonts w:ascii="Calibri" w:eastAsia="Times New Roman" w:hAnsi="Calibri"/>
          <w:b/>
          <w:color w:val="FF0000"/>
          <w:sz w:val="22"/>
          <w:szCs w:val="22"/>
        </w:rPr>
        <w:t>traitement</w:t>
      </w:r>
    </w:p>
    <w:p w14:paraId="01952359" w14:textId="714EC7DD" w:rsidR="006F0A3A" w:rsidRDefault="006F0A3A" w:rsidP="006F0A3A">
      <w:pPr>
        <w:pStyle w:val="Paragraphedeliste"/>
        <w:numPr>
          <w:ilvl w:val="0"/>
          <w:numId w:val="2"/>
        </w:numPr>
        <w:rPr>
          <w:rFonts w:ascii="Calibri" w:eastAsia="Times New Roman" w:hAnsi="Calibri"/>
          <w:b/>
          <w:color w:val="FF0000"/>
          <w:sz w:val="22"/>
          <w:szCs w:val="22"/>
        </w:rPr>
      </w:pPr>
      <w:r>
        <w:rPr>
          <w:rFonts w:ascii="Calibri" w:eastAsia="Times New Roman" w:hAnsi="Calibri"/>
          <w:b/>
          <w:color w:val="FF0000"/>
          <w:sz w:val="22"/>
          <w:szCs w:val="22"/>
        </w:rPr>
        <w:t xml:space="preserve">Si facteur de risque surajouté et /ou COVID-19 </w:t>
      </w:r>
      <w:r w:rsidRPr="006F0A3A">
        <w:rPr>
          <w:rFonts w:ascii="Calibri" w:eastAsia="Times New Roman" w:hAnsi="Calibri"/>
          <w:b/>
          <w:color w:val="FF0000"/>
          <w:sz w:val="22"/>
          <w:szCs w:val="22"/>
        </w:rPr>
        <w:t xml:space="preserve">symptomatique (alitement, fièvre…) : HBPM préventive type Lovenox 4000UI/jour  et si poids &gt; 90 </w:t>
      </w:r>
      <w:proofErr w:type="spellStart"/>
      <w:r w:rsidRPr="006F0A3A">
        <w:rPr>
          <w:rFonts w:ascii="Calibri" w:eastAsia="Times New Roman" w:hAnsi="Calibri"/>
          <w:b/>
          <w:color w:val="FF0000"/>
          <w:sz w:val="22"/>
          <w:szCs w:val="22"/>
        </w:rPr>
        <w:t>kgs</w:t>
      </w:r>
      <w:proofErr w:type="spellEnd"/>
      <w:r w:rsidRPr="006F0A3A">
        <w:rPr>
          <w:rFonts w:ascii="Calibri" w:eastAsia="Times New Roman" w:hAnsi="Calibri"/>
          <w:b/>
          <w:color w:val="FF0000"/>
          <w:sz w:val="22"/>
          <w:szCs w:val="22"/>
        </w:rPr>
        <w:t xml:space="preserve"> 6000 UI/jour</w:t>
      </w:r>
    </w:p>
    <w:sectPr w:rsidR="006F0A3A" w:rsidSect="006F0A3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CB0C89" w14:textId="77777777" w:rsidR="00301EF9" w:rsidRDefault="00301EF9" w:rsidP="00E5532D">
      <w:r>
        <w:separator/>
      </w:r>
    </w:p>
  </w:endnote>
  <w:endnote w:type="continuationSeparator" w:id="0">
    <w:p w14:paraId="6ED92804" w14:textId="77777777" w:rsidR="00301EF9" w:rsidRDefault="00301EF9" w:rsidP="00E5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958ECB" w14:textId="77777777" w:rsidR="00301EF9" w:rsidRDefault="00301EF9" w:rsidP="00E5532D">
      <w:r>
        <w:separator/>
      </w:r>
    </w:p>
  </w:footnote>
  <w:footnote w:type="continuationSeparator" w:id="0">
    <w:p w14:paraId="3A86A234" w14:textId="77777777" w:rsidR="00301EF9" w:rsidRDefault="00301EF9" w:rsidP="00E5532D">
      <w:r>
        <w:continuationSeparator/>
      </w:r>
    </w:p>
  </w:footnote>
  <w:footnote w:id="1">
    <w:p w14:paraId="73D9E2AC" w14:textId="0A7FB347" w:rsidR="00E5532D" w:rsidRDefault="00E5532D">
      <w:pPr>
        <w:pStyle w:val="Notedebasdepage"/>
      </w:pPr>
      <w:r>
        <w:rPr>
          <w:rStyle w:val="Appelnotedebasdep"/>
        </w:rPr>
        <w:footnoteRef/>
      </w:r>
      <w:r>
        <w:t xml:space="preserve"> CNEGM : Collège National des Enseignants de Gynécologie Médicale </w:t>
      </w:r>
    </w:p>
  </w:footnote>
  <w:footnote w:id="2">
    <w:p w14:paraId="17EFEE2B" w14:textId="239584FB" w:rsidR="006F0A3A" w:rsidRDefault="006F0A3A">
      <w:pPr>
        <w:pStyle w:val="Notedebasdepage"/>
      </w:pPr>
      <w:r>
        <w:rPr>
          <w:rStyle w:val="Appelnotedebasdep"/>
        </w:rPr>
        <w:footnoteRef/>
      </w:r>
      <w:r>
        <w:t xml:space="preserve"> + Jacqueline Conard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23959"/>
    <w:multiLevelType w:val="hybridMultilevel"/>
    <w:tmpl w:val="ADEA8462"/>
    <w:lvl w:ilvl="0" w:tplc="040C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10040A4D"/>
    <w:multiLevelType w:val="hybridMultilevel"/>
    <w:tmpl w:val="A1C6A560"/>
    <w:lvl w:ilvl="0" w:tplc="040C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2" w15:restartNumberingAfterBreak="0">
    <w:nsid w:val="29F7299A"/>
    <w:multiLevelType w:val="hybridMultilevel"/>
    <w:tmpl w:val="6352ABF0"/>
    <w:lvl w:ilvl="0" w:tplc="040C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3" w15:restartNumberingAfterBreak="0">
    <w:nsid w:val="354D06EC"/>
    <w:multiLevelType w:val="hybridMultilevel"/>
    <w:tmpl w:val="84A05C8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C17DF"/>
    <w:multiLevelType w:val="hybridMultilevel"/>
    <w:tmpl w:val="FF2AB420"/>
    <w:lvl w:ilvl="0" w:tplc="040C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5" w15:restartNumberingAfterBreak="0">
    <w:nsid w:val="6DF50E81"/>
    <w:multiLevelType w:val="hybridMultilevel"/>
    <w:tmpl w:val="4C4ED91C"/>
    <w:lvl w:ilvl="0" w:tplc="040C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6" w15:restartNumberingAfterBreak="0">
    <w:nsid w:val="72492041"/>
    <w:multiLevelType w:val="hybridMultilevel"/>
    <w:tmpl w:val="3E5EF32C"/>
    <w:lvl w:ilvl="0" w:tplc="040C000F">
      <w:start w:val="1"/>
      <w:numFmt w:val="decimal"/>
      <w:lvlText w:val="%1."/>
      <w:lvlJc w:val="left"/>
      <w:pPr>
        <w:ind w:left="1470" w:hanging="360"/>
      </w:pPr>
    </w:lvl>
    <w:lvl w:ilvl="1" w:tplc="040C0019" w:tentative="1">
      <w:start w:val="1"/>
      <w:numFmt w:val="lowerLetter"/>
      <w:lvlText w:val="%2."/>
      <w:lvlJc w:val="left"/>
      <w:pPr>
        <w:ind w:left="2190" w:hanging="360"/>
      </w:pPr>
    </w:lvl>
    <w:lvl w:ilvl="2" w:tplc="040C001B" w:tentative="1">
      <w:start w:val="1"/>
      <w:numFmt w:val="lowerRoman"/>
      <w:lvlText w:val="%3."/>
      <w:lvlJc w:val="right"/>
      <w:pPr>
        <w:ind w:left="2910" w:hanging="180"/>
      </w:pPr>
    </w:lvl>
    <w:lvl w:ilvl="3" w:tplc="040C000F" w:tentative="1">
      <w:start w:val="1"/>
      <w:numFmt w:val="decimal"/>
      <w:lvlText w:val="%4."/>
      <w:lvlJc w:val="left"/>
      <w:pPr>
        <w:ind w:left="3630" w:hanging="360"/>
      </w:pPr>
    </w:lvl>
    <w:lvl w:ilvl="4" w:tplc="040C0019" w:tentative="1">
      <w:start w:val="1"/>
      <w:numFmt w:val="lowerLetter"/>
      <w:lvlText w:val="%5."/>
      <w:lvlJc w:val="left"/>
      <w:pPr>
        <w:ind w:left="4350" w:hanging="360"/>
      </w:pPr>
    </w:lvl>
    <w:lvl w:ilvl="5" w:tplc="040C001B" w:tentative="1">
      <w:start w:val="1"/>
      <w:numFmt w:val="lowerRoman"/>
      <w:lvlText w:val="%6."/>
      <w:lvlJc w:val="right"/>
      <w:pPr>
        <w:ind w:left="5070" w:hanging="180"/>
      </w:pPr>
    </w:lvl>
    <w:lvl w:ilvl="6" w:tplc="040C000F" w:tentative="1">
      <w:start w:val="1"/>
      <w:numFmt w:val="decimal"/>
      <w:lvlText w:val="%7."/>
      <w:lvlJc w:val="left"/>
      <w:pPr>
        <w:ind w:left="5790" w:hanging="360"/>
      </w:pPr>
    </w:lvl>
    <w:lvl w:ilvl="7" w:tplc="040C0019" w:tentative="1">
      <w:start w:val="1"/>
      <w:numFmt w:val="lowerLetter"/>
      <w:lvlText w:val="%8."/>
      <w:lvlJc w:val="left"/>
      <w:pPr>
        <w:ind w:left="6510" w:hanging="360"/>
      </w:pPr>
    </w:lvl>
    <w:lvl w:ilvl="8" w:tplc="040C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26E"/>
    <w:rsid w:val="0009708A"/>
    <w:rsid w:val="0011426E"/>
    <w:rsid w:val="00135591"/>
    <w:rsid w:val="00301EF9"/>
    <w:rsid w:val="004C1461"/>
    <w:rsid w:val="00692129"/>
    <w:rsid w:val="006F0A3A"/>
    <w:rsid w:val="007347D6"/>
    <w:rsid w:val="00777715"/>
    <w:rsid w:val="008B4623"/>
    <w:rsid w:val="009E0CE2"/>
    <w:rsid w:val="00A07FF3"/>
    <w:rsid w:val="00A42819"/>
    <w:rsid w:val="00BB736B"/>
    <w:rsid w:val="00D06869"/>
    <w:rsid w:val="00D178AD"/>
    <w:rsid w:val="00D56F3C"/>
    <w:rsid w:val="00E5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B6B68A"/>
  <w15:docId w15:val="{0C071B06-768F-4678-AE75-A3C5C1732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26E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426E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D0686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0686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06869"/>
    <w:rPr>
      <w:rFonts w:ascii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0686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06869"/>
    <w:rPr>
      <w:rFonts w:ascii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686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6869"/>
    <w:rPr>
      <w:rFonts w:ascii="Segoe UI" w:hAnsi="Segoe UI" w:cs="Segoe UI"/>
      <w:sz w:val="18"/>
      <w:szCs w:val="1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5532D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5532D"/>
    <w:rPr>
      <w:rFonts w:ascii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E553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7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DA964-BB5C-4918-900E-BB25EC987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 BUREAU Geneviève</dc:creator>
  <cp:lastModifiedBy>Jean-Jacques Fleury</cp:lastModifiedBy>
  <cp:revision>2</cp:revision>
  <dcterms:created xsi:type="dcterms:W3CDTF">2020-04-15T08:24:00Z</dcterms:created>
  <dcterms:modified xsi:type="dcterms:W3CDTF">2020-04-15T08:24:00Z</dcterms:modified>
</cp:coreProperties>
</file>